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E6" w:rsidRDefault="00D965E6" w:rsidP="00013D9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D56E38" w:rsidRDefault="00781611" w:rsidP="00013D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Seguimiento a las e</w:t>
      </w:r>
      <w:r w:rsidR="00D56E38" w:rsidRPr="00013D94">
        <w:rPr>
          <w:rFonts w:ascii="Arial" w:hAnsi="Arial" w:cs="Arial"/>
          <w:b/>
          <w:bCs/>
        </w:rPr>
        <w:t xml:space="preserve">misoras de bajo cumplimiento </w:t>
      </w:r>
      <w:r>
        <w:rPr>
          <w:rFonts w:ascii="Arial" w:hAnsi="Arial" w:cs="Arial"/>
          <w:b/>
          <w:bCs/>
        </w:rPr>
        <w:t>de Coahuila e Hidalgo</w:t>
      </w:r>
      <w:r w:rsidR="00D56E38" w:rsidRPr="00013D94">
        <w:rPr>
          <w:rFonts w:ascii="Arial" w:hAnsi="Arial" w:cs="Arial"/>
          <w:b/>
          <w:bCs/>
        </w:rPr>
        <w:t xml:space="preserve"> </w:t>
      </w:r>
    </w:p>
    <w:p w:rsidR="00BD7D29" w:rsidRDefault="00BD7D29" w:rsidP="00013D94">
      <w:pPr>
        <w:jc w:val="center"/>
        <w:rPr>
          <w:rFonts w:ascii="Arial" w:hAnsi="Arial" w:cs="Arial"/>
          <w:b/>
          <w:bCs/>
        </w:rPr>
      </w:pPr>
    </w:p>
    <w:p w:rsidR="00013D94" w:rsidRPr="00ED2690" w:rsidRDefault="00013D94" w:rsidP="00013D94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013D94" w:rsidRPr="00D56E38" w:rsidRDefault="00781611" w:rsidP="00686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Derivado de los acuerdos tomados durante la </w:t>
      </w:r>
      <w:r w:rsidR="00947E8F">
        <w:rPr>
          <w:rFonts w:ascii="Arial" w:hAnsi="Arial" w:cs="Arial"/>
        </w:rPr>
        <w:t>segunda sesión ordinaria del Comité de Radio y Televisión, se informa sobre las emisoras: XHHUH-TDT (Hidalgo)</w:t>
      </w:r>
      <w:r w:rsidR="006868F4">
        <w:rPr>
          <w:rFonts w:ascii="Arial" w:hAnsi="Arial" w:cs="Arial"/>
        </w:rPr>
        <w:t xml:space="preserve">, </w:t>
      </w:r>
      <w:r w:rsidR="006868F4" w:rsidRPr="006868F4">
        <w:rPr>
          <w:rFonts w:ascii="Arial" w:hAnsi="Arial" w:cs="Arial"/>
        </w:rPr>
        <w:t>XHSCE-TDT31 y XHSCE-TDT31.2 de Coahuila</w:t>
      </w:r>
      <w:r w:rsidR="006868F4">
        <w:rPr>
          <w:rFonts w:ascii="Arial" w:hAnsi="Arial" w:cs="Arial"/>
        </w:rPr>
        <w:t xml:space="preserve"> que presentaron </w:t>
      </w:r>
      <w:r w:rsidR="00013D94">
        <w:rPr>
          <w:rFonts w:ascii="Arial" w:hAnsi="Arial" w:cs="Arial"/>
        </w:rPr>
        <w:t xml:space="preserve">bajo cumplimiento. </w:t>
      </w:r>
    </w:p>
    <w:p w:rsidR="00D56E38" w:rsidRDefault="00D56E38">
      <w:pPr>
        <w:rPr>
          <w:rFonts w:ascii="Arial" w:hAnsi="Arial" w:cs="Arial"/>
        </w:rPr>
      </w:pPr>
    </w:p>
    <w:p w:rsidR="00D56E38" w:rsidRPr="00EA772E" w:rsidRDefault="00EA772E" w:rsidP="00EA772E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</w:rPr>
      </w:pPr>
      <w:r w:rsidRPr="00EA772E">
        <w:rPr>
          <w:rFonts w:ascii="Arial" w:hAnsi="Arial" w:cs="Arial"/>
          <w:b/>
          <w:bCs/>
        </w:rPr>
        <w:t>Radio y televisión de Hidalgo</w:t>
      </w:r>
    </w:p>
    <w:p w:rsidR="00D56E38" w:rsidRDefault="00D56E38">
      <w:pPr>
        <w:rPr>
          <w:rFonts w:ascii="Arial" w:hAnsi="Arial" w:cs="Arial"/>
        </w:rPr>
      </w:pPr>
    </w:p>
    <w:tbl>
      <w:tblPr>
        <w:tblW w:w="55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2098"/>
        <w:gridCol w:w="726"/>
        <w:gridCol w:w="899"/>
        <w:gridCol w:w="1003"/>
        <w:gridCol w:w="870"/>
        <w:gridCol w:w="971"/>
        <w:gridCol w:w="1020"/>
        <w:gridCol w:w="971"/>
        <w:gridCol w:w="954"/>
        <w:gridCol w:w="954"/>
        <w:gridCol w:w="1023"/>
        <w:gridCol w:w="1020"/>
        <w:gridCol w:w="1012"/>
      </w:tblGrid>
      <w:tr w:rsidR="00D56E38" w:rsidRPr="00C93859" w:rsidTr="00013D94">
        <w:trPr>
          <w:trHeight w:val="300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1-15 sep.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sep.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1-15 oct.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oct.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nov.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nov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dic.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dic.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ene.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ene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1-11 feb*</w:t>
            </w:r>
          </w:p>
        </w:tc>
      </w:tr>
      <w:tr w:rsidR="00960374" w:rsidRPr="00C93859" w:rsidTr="00960374">
        <w:trPr>
          <w:trHeight w:val="300"/>
          <w:jc w:val="center"/>
        </w:trPr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4" w:rsidRPr="00C93859" w:rsidRDefault="00960374" w:rsidP="009603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4" w:rsidRPr="00C93859" w:rsidRDefault="00960374" w:rsidP="009603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XHHUH-TDT </w:t>
            </w:r>
            <w:r w:rsidRPr="00C9385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br/>
              <w:t>RADIO Y TELEVISION DE HIDALGO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960374" w:rsidRPr="00C93859" w:rsidRDefault="00960374" w:rsidP="00960374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60374" w:rsidRPr="00BD78D0" w:rsidRDefault="00960374" w:rsidP="00960374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60374" w:rsidRPr="00BD78D0" w:rsidRDefault="00960374" w:rsidP="00960374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94.29%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60374" w:rsidRPr="00960374" w:rsidRDefault="00960374" w:rsidP="00960374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960374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93.14%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60374" w:rsidRPr="00960374" w:rsidRDefault="00960374" w:rsidP="00960374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960374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92.86%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  <w:hideMark/>
          </w:tcPr>
          <w:p w:rsidR="00960374" w:rsidRPr="00960374" w:rsidRDefault="00960374" w:rsidP="00960374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960374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  <w:t>76.19%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60374" w:rsidRPr="00BD78D0" w:rsidRDefault="00960374" w:rsidP="00960374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90.48%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60374" w:rsidRPr="00BD78D0" w:rsidRDefault="00960374" w:rsidP="00960374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93.33%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vAlign w:val="center"/>
            <w:hideMark/>
          </w:tcPr>
          <w:p w:rsidR="00960374" w:rsidRPr="00BD78D0" w:rsidRDefault="00960374" w:rsidP="00960374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  <w:t>79.46%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60374" w:rsidRPr="00BD78D0" w:rsidRDefault="00960374" w:rsidP="00960374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84.76%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</w:tcPr>
          <w:p w:rsidR="00960374" w:rsidRPr="00BD78D0" w:rsidRDefault="00960374" w:rsidP="009603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  <w:t>69.64%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960374" w:rsidRPr="00BD78D0" w:rsidRDefault="00960374" w:rsidP="00960374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87.12%</w:t>
            </w:r>
          </w:p>
        </w:tc>
      </w:tr>
      <w:tr w:rsidR="00D56E38" w:rsidRPr="00C93859" w:rsidTr="00960374">
        <w:trPr>
          <w:trHeight w:val="300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E38" w:rsidRPr="00C93859" w:rsidRDefault="00D56E38" w:rsidP="00410582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E38" w:rsidRPr="00C93859" w:rsidRDefault="00D56E38" w:rsidP="00410582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56E38" w:rsidRPr="00C93859" w:rsidRDefault="00D56E38" w:rsidP="0041058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056E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56E38" w:rsidRPr="00BD78D0" w:rsidRDefault="00D56E38" w:rsidP="00410582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56E38" w:rsidRPr="00BD78D0" w:rsidRDefault="00D56E38" w:rsidP="00410582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56E38" w:rsidRPr="00BD78D0" w:rsidRDefault="00D56E38" w:rsidP="00410582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56E38" w:rsidRPr="00BD78D0" w:rsidRDefault="00D56E38" w:rsidP="00410582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92.86%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  <w:hideMark/>
          </w:tcPr>
          <w:p w:rsidR="00D56E38" w:rsidRPr="00960374" w:rsidRDefault="00D56E38" w:rsidP="00410582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960374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  <w:t>77.14%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56E38" w:rsidRPr="00BD78D0" w:rsidRDefault="00D56E38" w:rsidP="00410582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90.48%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56E38" w:rsidRPr="00BD78D0" w:rsidRDefault="00D56E38" w:rsidP="00410582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93.33%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vAlign w:val="center"/>
            <w:hideMark/>
          </w:tcPr>
          <w:p w:rsidR="00D56E38" w:rsidRPr="00BD78D0" w:rsidRDefault="00D56E38" w:rsidP="00410582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  <w:t>79.46%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56E38" w:rsidRPr="00BD78D0" w:rsidRDefault="00D56E38" w:rsidP="00410582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84.76%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vAlign w:val="center"/>
          </w:tcPr>
          <w:p w:rsidR="00D56E38" w:rsidRPr="00BD78D0" w:rsidRDefault="00B42DF3" w:rsidP="00B42DF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  <w:t>69.64%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D56E38" w:rsidRPr="00BD78D0" w:rsidRDefault="006E620D" w:rsidP="00410582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87.12%</w:t>
            </w:r>
          </w:p>
        </w:tc>
      </w:tr>
    </w:tbl>
    <w:p w:rsidR="00B42DF3" w:rsidRDefault="00D56E38" w:rsidP="00B42DF3">
      <w:pPr>
        <w:pStyle w:val="Sinespaciado"/>
        <w:spacing w:line="360" w:lineRule="auto"/>
        <w:ind w:right="105"/>
        <w:rPr>
          <w:rFonts w:ascii="Calibri" w:hAnsi="Calibri"/>
          <w:color w:val="000000"/>
          <w:sz w:val="18"/>
          <w:szCs w:val="18"/>
          <w:lang w:eastAsia="es-MX"/>
        </w:rPr>
      </w:pPr>
      <w:r>
        <w:rPr>
          <w:rFonts w:ascii="Calibri" w:hAnsi="Calibri"/>
          <w:color w:val="000000"/>
          <w:sz w:val="18"/>
          <w:szCs w:val="18"/>
          <w:lang w:eastAsia="es-MX"/>
        </w:rPr>
        <w:t>*</w:t>
      </w:r>
      <w:r w:rsidRPr="00D56E38">
        <w:t xml:space="preserve"> </w:t>
      </w:r>
      <w:r w:rsidRPr="00D56E38">
        <w:rPr>
          <w:rFonts w:ascii="Calibri" w:hAnsi="Calibri"/>
          <w:color w:val="000000"/>
          <w:sz w:val="18"/>
          <w:szCs w:val="18"/>
          <w:lang w:eastAsia="es-MX"/>
        </w:rPr>
        <w:t xml:space="preserve">El informe del estado de Hidalgo, tiene como periodo del 1 al 11 de febrero ya que el día 12 dio inicio </w:t>
      </w:r>
      <w:r w:rsidR="00287EB6">
        <w:rPr>
          <w:rFonts w:ascii="Calibri" w:hAnsi="Calibri"/>
          <w:color w:val="000000"/>
          <w:sz w:val="18"/>
          <w:szCs w:val="18"/>
          <w:lang w:eastAsia="es-MX"/>
        </w:rPr>
        <w:t>el</w:t>
      </w:r>
      <w:r w:rsidRPr="00D56E38">
        <w:rPr>
          <w:rFonts w:ascii="Calibri" w:hAnsi="Calibri"/>
          <w:color w:val="000000"/>
          <w:sz w:val="18"/>
          <w:szCs w:val="18"/>
          <w:lang w:eastAsia="es-MX"/>
        </w:rPr>
        <w:t xml:space="preserve"> proceso electoral local</w:t>
      </w:r>
      <w:r>
        <w:rPr>
          <w:rFonts w:ascii="Calibri" w:hAnsi="Calibri"/>
          <w:color w:val="000000"/>
          <w:sz w:val="18"/>
          <w:szCs w:val="18"/>
          <w:lang w:eastAsia="es-MX"/>
        </w:rPr>
        <w:t xml:space="preserve">. </w:t>
      </w:r>
    </w:p>
    <w:p w:rsidR="00B42DF3" w:rsidRDefault="00287EB6" w:rsidP="00B42DF3">
      <w:pPr>
        <w:pStyle w:val="Sinespaciado"/>
        <w:spacing w:line="360" w:lineRule="auto"/>
        <w:ind w:right="105"/>
        <w:rPr>
          <w:rFonts w:ascii="Calibri" w:hAnsi="Calibri"/>
          <w:color w:val="000000"/>
          <w:sz w:val="18"/>
          <w:szCs w:val="18"/>
          <w:lang w:eastAsia="es-MX"/>
        </w:rPr>
      </w:pPr>
      <w:r>
        <w:rPr>
          <w:rFonts w:ascii="Calibri" w:hAnsi="Calibri"/>
          <w:color w:val="000000"/>
          <w:sz w:val="18"/>
          <w:szCs w:val="18"/>
          <w:lang w:eastAsia="es-MX"/>
        </w:rPr>
        <w:t xml:space="preserve">*%CI: cumplimiento inicial; %CA= cumplimiento actualizado. </w:t>
      </w:r>
    </w:p>
    <w:p w:rsidR="00287EB6" w:rsidRDefault="00287EB6" w:rsidP="00B42DF3">
      <w:pPr>
        <w:pStyle w:val="Sinespaciado"/>
        <w:spacing w:line="360" w:lineRule="auto"/>
        <w:ind w:right="105"/>
        <w:rPr>
          <w:rFonts w:ascii="Calibri" w:hAnsi="Calibri"/>
          <w:color w:val="000000"/>
          <w:sz w:val="18"/>
          <w:szCs w:val="18"/>
          <w:lang w:eastAsia="es-MX"/>
        </w:rPr>
      </w:pPr>
    </w:p>
    <w:p w:rsidR="00B214AA" w:rsidRPr="00B214AA" w:rsidRDefault="00B214AA" w:rsidP="00882E26">
      <w:pPr>
        <w:pStyle w:val="Sinespaciado"/>
        <w:numPr>
          <w:ilvl w:val="0"/>
          <w:numId w:val="2"/>
        </w:numPr>
        <w:spacing w:line="360" w:lineRule="auto"/>
        <w:ind w:right="105"/>
        <w:rPr>
          <w:color w:val="000000"/>
          <w:lang w:eastAsia="es-MX"/>
        </w:rPr>
      </w:pPr>
      <w:r>
        <w:rPr>
          <w:color w:val="000000"/>
          <w:lang w:eastAsia="es-MX"/>
        </w:rPr>
        <w:t xml:space="preserve">Durante </w:t>
      </w:r>
      <w:r w:rsidRPr="00B214AA">
        <w:rPr>
          <w:b/>
          <w:bCs/>
          <w:color w:val="000000"/>
          <w:lang w:eastAsia="es-MX"/>
        </w:rPr>
        <w:t>la primera quincena de noviembre</w:t>
      </w:r>
      <w:r>
        <w:rPr>
          <w:color w:val="000000"/>
          <w:lang w:eastAsia="es-MX"/>
        </w:rPr>
        <w:t xml:space="preserve"> la emisora </w:t>
      </w:r>
      <w:r w:rsidRPr="00B214AA">
        <w:rPr>
          <w:color w:val="000000"/>
          <w:lang w:eastAsia="es-MX"/>
        </w:rPr>
        <w:t>respondió a los requerimientos de información que tuvo una falla de energía eléctrica.  </w:t>
      </w:r>
    </w:p>
    <w:p w:rsidR="006868F4" w:rsidRPr="006868F4" w:rsidRDefault="00B42DF3" w:rsidP="00882E26">
      <w:pPr>
        <w:pStyle w:val="Sinespaciado"/>
        <w:numPr>
          <w:ilvl w:val="0"/>
          <w:numId w:val="2"/>
        </w:numPr>
        <w:spacing w:line="360" w:lineRule="auto"/>
        <w:ind w:right="105"/>
        <w:rPr>
          <w:color w:val="000000"/>
          <w:lang w:eastAsia="es-MX"/>
        </w:rPr>
      </w:pPr>
      <w:r w:rsidRPr="006868F4">
        <w:rPr>
          <w:b/>
          <w:bCs/>
          <w:color w:val="000000"/>
          <w:lang w:eastAsia="es-MX"/>
        </w:rPr>
        <w:t>Para la segunda quincena de diciembre</w:t>
      </w:r>
      <w:r w:rsidRPr="006868F4">
        <w:rPr>
          <w:color w:val="000000"/>
          <w:lang w:eastAsia="es-MX"/>
        </w:rPr>
        <w:t>:</w:t>
      </w:r>
      <w:r w:rsidR="006868F4">
        <w:rPr>
          <w:color w:val="000000"/>
          <w:lang w:eastAsia="es-MX"/>
        </w:rPr>
        <w:t xml:space="preserve"> mediante </w:t>
      </w:r>
      <w:r w:rsidRPr="006868F4">
        <w:rPr>
          <w:color w:val="000000"/>
          <w:lang w:eastAsia="es-MX"/>
        </w:rPr>
        <w:t xml:space="preserve">requerimientos de información </w:t>
      </w:r>
      <w:r w:rsidRPr="006868F4">
        <w:rPr>
          <w:b/>
          <w:bCs/>
          <w:color w:val="000000"/>
          <w:lang w:eastAsia="es-MX"/>
        </w:rPr>
        <w:t xml:space="preserve">el concesionario respondió que tuvo fallas de energía eléctrica. </w:t>
      </w:r>
    </w:p>
    <w:p w:rsidR="00B42DF3" w:rsidRPr="006868F4" w:rsidRDefault="006868F4" w:rsidP="00882E26">
      <w:pPr>
        <w:pStyle w:val="Sinespaciado"/>
        <w:numPr>
          <w:ilvl w:val="0"/>
          <w:numId w:val="2"/>
        </w:numPr>
        <w:spacing w:line="360" w:lineRule="auto"/>
        <w:ind w:right="105"/>
        <w:rPr>
          <w:color w:val="000000"/>
          <w:lang w:eastAsia="es-MX"/>
        </w:rPr>
      </w:pPr>
      <w:r>
        <w:rPr>
          <w:b/>
          <w:bCs/>
          <w:color w:val="000000"/>
          <w:lang w:eastAsia="es-MX"/>
        </w:rPr>
        <w:t xml:space="preserve">Durante </w:t>
      </w:r>
      <w:r w:rsidR="00B42DF3" w:rsidRPr="006868F4">
        <w:rPr>
          <w:b/>
          <w:bCs/>
          <w:color w:val="000000"/>
          <w:lang w:eastAsia="es-MX"/>
        </w:rPr>
        <w:t>la segunda quincena de enero</w:t>
      </w:r>
      <w:r w:rsidR="00B42DF3" w:rsidRPr="006868F4">
        <w:rPr>
          <w:color w:val="000000"/>
          <w:lang w:eastAsia="es-MX"/>
        </w:rPr>
        <w:t xml:space="preserve">: </w:t>
      </w:r>
      <w:r w:rsidR="009F0452" w:rsidRPr="006868F4">
        <w:rPr>
          <w:color w:val="000000"/>
          <w:lang w:eastAsia="es-MX"/>
        </w:rPr>
        <w:t xml:space="preserve">contestó que estuvo fuera del aire por fallas en la energía eléctrica. </w:t>
      </w:r>
    </w:p>
    <w:p w:rsidR="00B42DF3" w:rsidRPr="00ED2690" w:rsidRDefault="00B42DF3" w:rsidP="00B42DF3">
      <w:pPr>
        <w:pStyle w:val="Sinespaciado"/>
        <w:numPr>
          <w:ilvl w:val="0"/>
          <w:numId w:val="2"/>
        </w:numPr>
        <w:spacing w:line="360" w:lineRule="auto"/>
        <w:ind w:right="105"/>
        <w:rPr>
          <w:color w:val="000000"/>
          <w:lang w:eastAsia="es-MX"/>
        </w:rPr>
      </w:pPr>
      <w:r w:rsidRPr="00ED2690">
        <w:rPr>
          <w:color w:val="000000"/>
          <w:lang w:eastAsia="es-MX"/>
        </w:rPr>
        <w:t xml:space="preserve">En el informe del inicio del PEL, del 12 al 18 de febrero reportó un cumplimiento de </w:t>
      </w:r>
      <w:r w:rsidRPr="00ED2690">
        <w:rPr>
          <w:b/>
          <w:bCs/>
          <w:color w:val="000000"/>
          <w:lang w:eastAsia="es-MX"/>
        </w:rPr>
        <w:t>98.65%.</w:t>
      </w:r>
      <w:r w:rsidRPr="00ED2690">
        <w:rPr>
          <w:color w:val="000000"/>
          <w:lang w:eastAsia="es-MX"/>
        </w:rPr>
        <w:t xml:space="preserve"> </w:t>
      </w:r>
    </w:p>
    <w:p w:rsidR="00EC36A2" w:rsidRPr="00ED2690" w:rsidRDefault="00EC36A2" w:rsidP="00B42DF3">
      <w:pPr>
        <w:pStyle w:val="Sinespaciado"/>
        <w:numPr>
          <w:ilvl w:val="0"/>
          <w:numId w:val="2"/>
        </w:numPr>
        <w:spacing w:line="360" w:lineRule="auto"/>
        <w:ind w:right="105"/>
        <w:rPr>
          <w:color w:val="000000"/>
          <w:lang w:eastAsia="es-MX"/>
        </w:rPr>
      </w:pPr>
      <w:r w:rsidRPr="00ED2690">
        <w:rPr>
          <w:color w:val="000000"/>
          <w:lang w:eastAsia="es-MX"/>
        </w:rPr>
        <w:t xml:space="preserve">En el informe del 19 al 25 de febrero, reportó un cumplimiento de </w:t>
      </w:r>
      <w:r w:rsidRPr="00ED2690">
        <w:rPr>
          <w:b/>
          <w:bCs/>
          <w:color w:val="000000"/>
          <w:lang w:eastAsia="es-MX"/>
        </w:rPr>
        <w:t>95.65%</w:t>
      </w:r>
    </w:p>
    <w:p w:rsidR="00ED2690" w:rsidRPr="006868F4" w:rsidRDefault="00ED2690" w:rsidP="00B42DF3">
      <w:pPr>
        <w:pStyle w:val="Sinespaciado"/>
        <w:numPr>
          <w:ilvl w:val="0"/>
          <w:numId w:val="2"/>
        </w:numPr>
        <w:spacing w:line="360" w:lineRule="auto"/>
        <w:ind w:right="105"/>
        <w:rPr>
          <w:color w:val="000000"/>
          <w:lang w:eastAsia="es-MX"/>
        </w:rPr>
      </w:pPr>
      <w:r w:rsidRPr="00ED2690">
        <w:rPr>
          <w:b/>
          <w:bCs/>
          <w:color w:val="000000"/>
          <w:lang w:eastAsia="es-MX"/>
        </w:rPr>
        <w:t xml:space="preserve">En el informe del 26 de febrero al 03 de marzo reportó un cumplimiento de 97.3%. </w:t>
      </w:r>
    </w:p>
    <w:p w:rsidR="006868F4" w:rsidRDefault="006868F4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  <w:r>
        <w:rPr>
          <w:b/>
          <w:bCs/>
          <w:color w:val="000000"/>
          <w:lang w:eastAsia="es-MX"/>
        </w:rPr>
        <w:br w:type="page"/>
      </w:r>
    </w:p>
    <w:p w:rsidR="0033105C" w:rsidRPr="00C96990" w:rsidRDefault="0033105C" w:rsidP="00D56E38">
      <w:pPr>
        <w:pStyle w:val="Prrafodelista"/>
        <w:numPr>
          <w:ilvl w:val="0"/>
          <w:numId w:val="3"/>
        </w:numPr>
        <w:spacing w:line="360" w:lineRule="auto"/>
        <w:ind w:right="105"/>
        <w:rPr>
          <w:rFonts w:ascii="Arial" w:hAnsi="Arial" w:cs="Arial"/>
          <w:b/>
          <w:bCs/>
          <w:lang w:val="en-US"/>
        </w:rPr>
      </w:pPr>
      <w:r w:rsidRPr="00C96990">
        <w:rPr>
          <w:rFonts w:ascii="Arial" w:hAnsi="Arial" w:cs="Arial"/>
          <w:b/>
          <w:bCs/>
          <w:lang w:val="en-US"/>
        </w:rPr>
        <w:lastRenderedPageBreak/>
        <w:t>Once TV</w:t>
      </w:r>
      <w:r w:rsidR="00C96990" w:rsidRPr="00C96990">
        <w:rPr>
          <w:rFonts w:ascii="Arial" w:hAnsi="Arial" w:cs="Arial"/>
          <w:b/>
          <w:bCs/>
          <w:lang w:val="en-US"/>
        </w:rPr>
        <w:t xml:space="preserve"> y Once </w:t>
      </w:r>
      <w:proofErr w:type="spellStart"/>
      <w:r w:rsidR="00C96990" w:rsidRPr="00C96990">
        <w:rPr>
          <w:rFonts w:ascii="Arial" w:hAnsi="Arial" w:cs="Arial"/>
          <w:b/>
          <w:bCs/>
          <w:lang w:val="en-US"/>
        </w:rPr>
        <w:t>niños</w:t>
      </w:r>
      <w:proofErr w:type="spellEnd"/>
      <w:r w:rsidRPr="00C96990">
        <w:rPr>
          <w:rFonts w:ascii="Arial" w:hAnsi="Arial" w:cs="Arial"/>
          <w:b/>
          <w:bCs/>
          <w:lang w:val="en-US"/>
        </w:rPr>
        <w:t xml:space="preserve">, Coahuila </w:t>
      </w:r>
    </w:p>
    <w:tbl>
      <w:tblPr>
        <w:tblW w:w="571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545"/>
        <w:gridCol w:w="723"/>
        <w:gridCol w:w="892"/>
        <w:gridCol w:w="994"/>
        <w:gridCol w:w="892"/>
        <w:gridCol w:w="990"/>
        <w:gridCol w:w="1015"/>
        <w:gridCol w:w="967"/>
        <w:gridCol w:w="1015"/>
        <w:gridCol w:w="959"/>
        <w:gridCol w:w="1015"/>
        <w:gridCol w:w="961"/>
        <w:gridCol w:w="1009"/>
        <w:gridCol w:w="12"/>
        <w:gridCol w:w="994"/>
      </w:tblGrid>
      <w:tr w:rsidR="00ED2690" w:rsidRPr="00781611" w:rsidTr="00B214AA">
        <w:trPr>
          <w:trHeight w:val="300"/>
          <w:jc w:val="center"/>
        </w:trPr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90" w:rsidRPr="00C96990" w:rsidRDefault="00ED2690" w:rsidP="009317AD">
            <w:pPr>
              <w:rPr>
                <w:sz w:val="20"/>
                <w:szCs w:val="20"/>
                <w:lang w:val="en-US" w:eastAsia="es-MX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D2690" w:rsidRPr="00C96990" w:rsidRDefault="00ED2690" w:rsidP="009317AD">
            <w:pPr>
              <w:rPr>
                <w:sz w:val="20"/>
                <w:szCs w:val="20"/>
                <w:lang w:val="en-US" w:eastAsia="es-MX"/>
              </w:rPr>
            </w:pPr>
          </w:p>
        </w:tc>
      </w:tr>
      <w:tr w:rsidR="00ED2690" w:rsidRPr="00C93859" w:rsidTr="00B214AA">
        <w:trPr>
          <w:trHeight w:val="300"/>
          <w:jc w:val="center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1-15 sep.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sep.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1-15 oct.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oct.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nov.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nov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dic.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dic.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ene.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ene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</w:tcPr>
          <w:p w:rsidR="00ED2690" w:rsidRPr="00C93859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1-15 feb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:rsidR="00ED2690" w:rsidRDefault="00ED2690" w:rsidP="00074B6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16-29 feb</w:t>
            </w:r>
          </w:p>
        </w:tc>
      </w:tr>
      <w:tr w:rsidR="00ED2690" w:rsidRPr="00C93859" w:rsidTr="00B214AA">
        <w:trPr>
          <w:trHeight w:val="300"/>
          <w:jc w:val="center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90" w:rsidRPr="00C93859" w:rsidRDefault="00ED2690" w:rsidP="00ED269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90" w:rsidRPr="00C93859" w:rsidRDefault="00ED2690" w:rsidP="00ED269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XHSCE-TDT31 </w:t>
            </w:r>
            <w:r w:rsidRPr="00C9385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br/>
              <w:t>Once TV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ED2690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  <w:t>68.93%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</w:tcPr>
          <w:p w:rsidR="00ED2690" w:rsidRPr="00BD78D0" w:rsidRDefault="00ED2690" w:rsidP="00ED2690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</w:tr>
      <w:tr w:rsidR="00ED2690" w:rsidRPr="00C93859" w:rsidTr="00B214AA">
        <w:trPr>
          <w:trHeight w:val="300"/>
          <w:jc w:val="center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90" w:rsidRPr="00C93859" w:rsidRDefault="00ED2690" w:rsidP="00ED2690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90" w:rsidRPr="00C93859" w:rsidRDefault="00ED2690" w:rsidP="00ED2690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ED2690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056E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vAlign w:val="center"/>
            <w:hideMark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  <w:t>68.93%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</w:tcPr>
          <w:p w:rsidR="00ED2690" w:rsidRPr="00BD78D0" w:rsidRDefault="00ED2690" w:rsidP="00ED2690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</w:tr>
      <w:tr w:rsidR="00ED2690" w:rsidRPr="00C93859" w:rsidTr="00B214AA">
        <w:trPr>
          <w:trHeight w:val="300"/>
          <w:jc w:val="center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90" w:rsidRPr="00C93859" w:rsidRDefault="00ED2690" w:rsidP="00ED269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90" w:rsidRPr="00C93859" w:rsidRDefault="00ED2690" w:rsidP="00ED269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XHSCE-TDT31.2</w:t>
            </w:r>
            <w:r w:rsidRPr="00C9385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br/>
              <w:t>Once niños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ED2690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385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  <w:t>68.93%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</w:tcPr>
          <w:p w:rsidR="00ED2690" w:rsidRPr="00BD78D0" w:rsidRDefault="00ED2690" w:rsidP="00ED2690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ED2690" w:rsidRPr="00BD78D0" w:rsidRDefault="00ED2690" w:rsidP="00ED2690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</w:tr>
      <w:tr w:rsidR="00ED2690" w:rsidRPr="00C93859" w:rsidTr="00B214AA">
        <w:trPr>
          <w:trHeight w:val="300"/>
          <w:jc w:val="center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90" w:rsidRPr="00C93859" w:rsidRDefault="00ED2690" w:rsidP="00ED2690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90" w:rsidRPr="00C93859" w:rsidRDefault="00ED2690" w:rsidP="00ED2690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ED2690" w:rsidRPr="00C93859" w:rsidRDefault="00ED2690" w:rsidP="00ED2690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056E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MX"/>
              </w:rPr>
              <w:t>68.93%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D2690" w:rsidRPr="00BD78D0" w:rsidRDefault="00ED2690" w:rsidP="00ED2690">
            <w:pPr>
              <w:jc w:val="center"/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</w:tcPr>
          <w:p w:rsidR="00ED2690" w:rsidRPr="00BD78D0" w:rsidRDefault="00ED2690" w:rsidP="00ED2690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ED2690" w:rsidRPr="00BD78D0" w:rsidRDefault="00ED2690" w:rsidP="00ED2690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BD78D0"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eastAsia="es-MX"/>
              </w:rPr>
              <w:t>100%</w:t>
            </w:r>
          </w:p>
        </w:tc>
      </w:tr>
    </w:tbl>
    <w:p w:rsidR="0033105C" w:rsidRDefault="0033105C"/>
    <w:p w:rsidR="0033105C" w:rsidRPr="00C96990" w:rsidRDefault="0033105C" w:rsidP="0033105C">
      <w:pPr>
        <w:pStyle w:val="Sinespaciado"/>
        <w:numPr>
          <w:ilvl w:val="0"/>
          <w:numId w:val="2"/>
        </w:numPr>
        <w:spacing w:line="360" w:lineRule="auto"/>
        <w:ind w:right="105"/>
        <w:rPr>
          <w:b/>
          <w:bCs/>
          <w:color w:val="000000"/>
          <w:sz w:val="24"/>
          <w:szCs w:val="24"/>
          <w:lang w:eastAsia="es-MX"/>
        </w:rPr>
      </w:pPr>
      <w:r w:rsidRPr="00B42DF3">
        <w:rPr>
          <w:b/>
          <w:bCs/>
          <w:color w:val="000000"/>
          <w:sz w:val="24"/>
          <w:szCs w:val="24"/>
          <w:lang w:eastAsia="es-MX"/>
        </w:rPr>
        <w:t xml:space="preserve">Para la </w:t>
      </w:r>
      <w:r>
        <w:rPr>
          <w:b/>
          <w:bCs/>
          <w:color w:val="000000"/>
          <w:sz w:val="24"/>
          <w:szCs w:val="24"/>
          <w:lang w:eastAsia="es-MX"/>
        </w:rPr>
        <w:t xml:space="preserve">primera </w:t>
      </w:r>
      <w:r w:rsidRPr="00B42DF3">
        <w:rPr>
          <w:b/>
          <w:bCs/>
          <w:color w:val="000000"/>
          <w:sz w:val="24"/>
          <w:szCs w:val="24"/>
          <w:lang w:eastAsia="es-MX"/>
        </w:rPr>
        <w:t xml:space="preserve">quincena de </w:t>
      </w:r>
      <w:r>
        <w:rPr>
          <w:b/>
          <w:bCs/>
          <w:color w:val="000000"/>
          <w:sz w:val="24"/>
          <w:szCs w:val="24"/>
          <w:lang w:eastAsia="es-MX"/>
        </w:rPr>
        <w:t>enero</w:t>
      </w:r>
      <w:r>
        <w:rPr>
          <w:color w:val="000000"/>
          <w:sz w:val="24"/>
          <w:szCs w:val="24"/>
          <w:lang w:eastAsia="es-MX"/>
        </w:rPr>
        <w:t xml:space="preserve">: </w:t>
      </w:r>
      <w:r w:rsidR="008D3FD7">
        <w:rPr>
          <w:color w:val="000000"/>
          <w:sz w:val="24"/>
          <w:szCs w:val="24"/>
          <w:lang w:eastAsia="es-MX"/>
        </w:rPr>
        <w:t xml:space="preserve">mediante </w:t>
      </w:r>
      <w:r>
        <w:rPr>
          <w:color w:val="000000"/>
          <w:sz w:val="24"/>
          <w:szCs w:val="24"/>
          <w:lang w:eastAsia="es-MX"/>
        </w:rPr>
        <w:t xml:space="preserve">requerimientos de información </w:t>
      </w:r>
      <w:r w:rsidRPr="00C96990">
        <w:rPr>
          <w:b/>
          <w:bCs/>
          <w:color w:val="000000"/>
          <w:sz w:val="24"/>
          <w:szCs w:val="24"/>
          <w:lang w:eastAsia="es-MX"/>
        </w:rPr>
        <w:t xml:space="preserve">el concesionario respondió que sí transmitió los promocionales omitidos y envió las bitácoras de transmisión. </w:t>
      </w:r>
    </w:p>
    <w:p w:rsidR="009F0452" w:rsidRPr="0058512A" w:rsidRDefault="0033105C" w:rsidP="0033105C">
      <w:pPr>
        <w:pStyle w:val="Sinespaciado"/>
        <w:numPr>
          <w:ilvl w:val="0"/>
          <w:numId w:val="2"/>
        </w:numPr>
        <w:spacing w:line="360" w:lineRule="auto"/>
        <w:ind w:right="105"/>
        <w:rPr>
          <w:color w:val="000000"/>
          <w:sz w:val="24"/>
          <w:szCs w:val="24"/>
          <w:lang w:eastAsia="es-MX"/>
        </w:rPr>
      </w:pPr>
      <w:r w:rsidRPr="0058512A">
        <w:rPr>
          <w:color w:val="000000"/>
          <w:sz w:val="24"/>
          <w:szCs w:val="24"/>
          <w:lang w:eastAsia="es-MX"/>
        </w:rPr>
        <w:t xml:space="preserve">Las omisiones </w:t>
      </w:r>
      <w:r w:rsidR="009F0452" w:rsidRPr="0058512A">
        <w:rPr>
          <w:color w:val="000000"/>
          <w:sz w:val="24"/>
          <w:szCs w:val="24"/>
          <w:lang w:eastAsia="es-MX"/>
        </w:rPr>
        <w:t>corresponden</w:t>
      </w:r>
      <w:r w:rsidRPr="0058512A">
        <w:rPr>
          <w:color w:val="000000"/>
          <w:sz w:val="24"/>
          <w:szCs w:val="24"/>
          <w:lang w:eastAsia="es-MX"/>
        </w:rPr>
        <w:t xml:space="preserve"> del 10 al 15 de enero, </w:t>
      </w:r>
      <w:r w:rsidR="009F0452" w:rsidRPr="0058512A">
        <w:rPr>
          <w:color w:val="000000"/>
          <w:sz w:val="24"/>
          <w:szCs w:val="24"/>
          <w:lang w:eastAsia="es-MX"/>
        </w:rPr>
        <w:t>se levantaron los casos CAU correspondientes para determinar que los promocionales fuesen calificados como “no transmitidos”</w:t>
      </w:r>
      <w:r w:rsidR="0058512A" w:rsidRPr="0058512A">
        <w:rPr>
          <w:color w:val="000000"/>
          <w:sz w:val="24"/>
          <w:szCs w:val="24"/>
          <w:lang w:eastAsia="es-MX"/>
        </w:rPr>
        <w:t xml:space="preserve">. </w:t>
      </w:r>
    </w:p>
    <w:p w:rsidR="0058512A" w:rsidRDefault="009F0452" w:rsidP="00D56B86">
      <w:pPr>
        <w:pStyle w:val="Sinespaciado"/>
        <w:numPr>
          <w:ilvl w:val="0"/>
          <w:numId w:val="2"/>
        </w:numPr>
        <w:spacing w:line="360" w:lineRule="auto"/>
        <w:ind w:right="105"/>
        <w:rPr>
          <w:color w:val="000000"/>
          <w:sz w:val="24"/>
          <w:szCs w:val="24"/>
          <w:lang w:eastAsia="es-MX"/>
        </w:rPr>
      </w:pPr>
      <w:r w:rsidRPr="0058512A">
        <w:rPr>
          <w:color w:val="000000"/>
          <w:sz w:val="24"/>
          <w:szCs w:val="24"/>
          <w:lang w:eastAsia="es-MX"/>
        </w:rPr>
        <w:t xml:space="preserve">Según lo estipulado, para determinar las omisiones, </w:t>
      </w:r>
      <w:r w:rsidR="0058512A" w:rsidRPr="0058512A">
        <w:rPr>
          <w:color w:val="000000"/>
          <w:sz w:val="24"/>
          <w:szCs w:val="24"/>
          <w:lang w:eastAsia="es-MX"/>
        </w:rPr>
        <w:t>s</w:t>
      </w:r>
      <w:r w:rsidRPr="0058512A">
        <w:rPr>
          <w:color w:val="000000"/>
          <w:sz w:val="24"/>
          <w:szCs w:val="24"/>
          <w:lang w:eastAsia="es-MX"/>
        </w:rPr>
        <w:t xml:space="preserve">e revisó en medio convencional tanto en CEVEM como en el domicilio de los </w:t>
      </w:r>
      <w:proofErr w:type="spellStart"/>
      <w:r w:rsidRPr="0058512A">
        <w:rPr>
          <w:color w:val="000000"/>
          <w:sz w:val="24"/>
          <w:szCs w:val="24"/>
          <w:lang w:eastAsia="es-MX"/>
        </w:rPr>
        <w:t>monitoristas</w:t>
      </w:r>
      <w:proofErr w:type="spellEnd"/>
      <w:r w:rsidRPr="0058512A">
        <w:rPr>
          <w:color w:val="000000"/>
          <w:sz w:val="24"/>
          <w:szCs w:val="24"/>
          <w:lang w:eastAsia="es-MX"/>
        </w:rPr>
        <w:t xml:space="preserve">, identificando que las </w:t>
      </w:r>
      <w:r w:rsidR="0058512A" w:rsidRPr="0058512A">
        <w:rPr>
          <w:color w:val="000000"/>
          <w:sz w:val="24"/>
          <w:szCs w:val="24"/>
          <w:lang w:eastAsia="es-MX"/>
        </w:rPr>
        <w:t xml:space="preserve">dos </w:t>
      </w:r>
      <w:r w:rsidRPr="0058512A">
        <w:rPr>
          <w:color w:val="000000"/>
          <w:sz w:val="24"/>
          <w:szCs w:val="24"/>
          <w:lang w:eastAsia="es-MX"/>
        </w:rPr>
        <w:t>emisoras</w:t>
      </w:r>
      <w:r w:rsidR="0058512A" w:rsidRPr="0058512A">
        <w:rPr>
          <w:color w:val="000000"/>
          <w:sz w:val="24"/>
          <w:szCs w:val="24"/>
          <w:lang w:eastAsia="es-MX"/>
        </w:rPr>
        <w:t xml:space="preserve"> no</w:t>
      </w:r>
      <w:r w:rsidRPr="0058512A">
        <w:rPr>
          <w:color w:val="000000"/>
          <w:sz w:val="24"/>
          <w:szCs w:val="24"/>
          <w:lang w:eastAsia="es-MX"/>
        </w:rPr>
        <w:t xml:space="preserve"> transmitieron señal</w:t>
      </w:r>
      <w:r w:rsidR="0058512A" w:rsidRPr="0058512A">
        <w:rPr>
          <w:color w:val="000000"/>
          <w:sz w:val="24"/>
          <w:szCs w:val="24"/>
          <w:lang w:eastAsia="es-MX"/>
        </w:rPr>
        <w:t>, es decir, no hay media en esos días</w:t>
      </w:r>
      <w:r w:rsidRPr="0058512A">
        <w:rPr>
          <w:color w:val="000000"/>
          <w:sz w:val="24"/>
          <w:szCs w:val="24"/>
          <w:lang w:eastAsia="es-MX"/>
        </w:rPr>
        <w:t>.</w:t>
      </w:r>
      <w:r w:rsidR="0058512A" w:rsidRPr="0058512A">
        <w:rPr>
          <w:color w:val="000000"/>
          <w:sz w:val="24"/>
          <w:szCs w:val="24"/>
          <w:lang w:eastAsia="es-MX"/>
        </w:rPr>
        <w:t xml:space="preserve"> Asimismo, </w:t>
      </w:r>
      <w:r w:rsidR="0058512A">
        <w:rPr>
          <w:color w:val="000000"/>
          <w:sz w:val="24"/>
          <w:szCs w:val="24"/>
          <w:lang w:eastAsia="es-MX"/>
        </w:rPr>
        <w:t>n</w:t>
      </w:r>
      <w:r w:rsidRPr="0058512A">
        <w:rPr>
          <w:color w:val="000000"/>
          <w:sz w:val="24"/>
          <w:szCs w:val="24"/>
          <w:lang w:eastAsia="es-MX"/>
        </w:rPr>
        <w:t>o fue posible contactar a personal de las emisoras, derivado de que son repetidoras de emisoras nacionales.</w:t>
      </w:r>
      <w:r w:rsidR="0058512A" w:rsidRPr="0058512A">
        <w:rPr>
          <w:color w:val="000000"/>
          <w:sz w:val="24"/>
          <w:szCs w:val="24"/>
          <w:lang w:eastAsia="es-MX"/>
        </w:rPr>
        <w:t xml:space="preserve"> </w:t>
      </w:r>
      <w:r w:rsidR="0058512A">
        <w:rPr>
          <w:color w:val="000000"/>
          <w:sz w:val="24"/>
          <w:szCs w:val="24"/>
          <w:lang w:eastAsia="es-MX"/>
        </w:rPr>
        <w:t xml:space="preserve">Por ello, se procedió a levantar el incidente correspondiente </w:t>
      </w:r>
      <w:r w:rsidR="005E736F">
        <w:rPr>
          <w:color w:val="000000"/>
          <w:sz w:val="24"/>
          <w:szCs w:val="24"/>
          <w:lang w:eastAsia="es-MX"/>
        </w:rPr>
        <w:t xml:space="preserve">(caso CAU) </w:t>
      </w:r>
      <w:r w:rsidR="0058512A">
        <w:rPr>
          <w:color w:val="000000"/>
          <w:sz w:val="24"/>
          <w:szCs w:val="24"/>
          <w:lang w:eastAsia="es-MX"/>
        </w:rPr>
        <w:t xml:space="preserve">y el área de soporte determinó que las omisiones fuesen calificadas como “no transmitidas”. </w:t>
      </w:r>
    </w:p>
    <w:p w:rsidR="009F0452" w:rsidRDefault="0058512A" w:rsidP="00D56B86">
      <w:pPr>
        <w:pStyle w:val="Sinespaciado"/>
        <w:numPr>
          <w:ilvl w:val="0"/>
          <w:numId w:val="2"/>
        </w:numPr>
        <w:spacing w:line="360" w:lineRule="auto"/>
        <w:ind w:right="105"/>
        <w:rPr>
          <w:color w:val="000000"/>
          <w:sz w:val="24"/>
          <w:szCs w:val="24"/>
          <w:lang w:eastAsia="es-MX"/>
        </w:rPr>
      </w:pPr>
      <w:r w:rsidRPr="0058512A">
        <w:rPr>
          <w:color w:val="000000"/>
          <w:sz w:val="24"/>
          <w:szCs w:val="24"/>
          <w:lang w:eastAsia="es-MX"/>
        </w:rPr>
        <w:t>Las señales nacio</w:t>
      </w:r>
      <w:r>
        <w:rPr>
          <w:color w:val="000000"/>
          <w:sz w:val="24"/>
          <w:szCs w:val="24"/>
          <w:lang w:eastAsia="es-MX"/>
        </w:rPr>
        <w:t xml:space="preserve">nales </w:t>
      </w:r>
      <w:r w:rsidRPr="0058512A">
        <w:rPr>
          <w:color w:val="000000"/>
          <w:sz w:val="24"/>
          <w:szCs w:val="24"/>
          <w:lang w:eastAsia="es-MX"/>
        </w:rPr>
        <w:t>sí transmitieron la pauta</w:t>
      </w:r>
      <w:r>
        <w:rPr>
          <w:color w:val="000000"/>
          <w:sz w:val="24"/>
          <w:szCs w:val="24"/>
          <w:lang w:eastAsia="es-MX"/>
        </w:rPr>
        <w:t xml:space="preserve"> correctamente</w:t>
      </w:r>
      <w:r w:rsidRPr="0058512A">
        <w:rPr>
          <w:color w:val="000000"/>
          <w:sz w:val="24"/>
          <w:szCs w:val="24"/>
          <w:lang w:eastAsia="es-MX"/>
        </w:rPr>
        <w:t xml:space="preserve">, aunque esos días hubo fuertes vientos en Saltillo lo que pudo ocasionar </w:t>
      </w:r>
      <w:r>
        <w:rPr>
          <w:color w:val="000000"/>
          <w:sz w:val="24"/>
          <w:szCs w:val="24"/>
          <w:lang w:eastAsia="es-MX"/>
        </w:rPr>
        <w:t>daños en la antena, aunque no se cuenta con documentación o confirmación por parte de la emisora</w:t>
      </w:r>
      <w:r w:rsidRPr="0058512A">
        <w:rPr>
          <w:color w:val="000000"/>
          <w:sz w:val="24"/>
          <w:szCs w:val="24"/>
          <w:lang w:eastAsia="es-MX"/>
        </w:rPr>
        <w:t xml:space="preserve">. </w:t>
      </w:r>
    </w:p>
    <w:p w:rsidR="00ED2690" w:rsidRPr="0058512A" w:rsidRDefault="00ED2690" w:rsidP="00D56B86">
      <w:pPr>
        <w:pStyle w:val="Sinespaciado"/>
        <w:numPr>
          <w:ilvl w:val="0"/>
          <w:numId w:val="2"/>
        </w:numPr>
        <w:spacing w:line="360" w:lineRule="auto"/>
        <w:ind w:right="105"/>
        <w:rPr>
          <w:color w:val="000000"/>
          <w:sz w:val="24"/>
          <w:szCs w:val="24"/>
          <w:lang w:eastAsia="es-MX"/>
        </w:rPr>
      </w:pPr>
      <w:r>
        <w:rPr>
          <w:color w:val="000000"/>
          <w:sz w:val="24"/>
          <w:szCs w:val="24"/>
          <w:lang w:eastAsia="es-MX"/>
        </w:rPr>
        <w:t xml:space="preserve">Para el arranque del PEL, del 1 al 3 de marzo reportaron un cumplimiento del 100%. </w:t>
      </w:r>
    </w:p>
    <w:sectPr w:rsidR="00ED2690" w:rsidRPr="0058512A" w:rsidSect="00ED2690">
      <w:headerReference w:type="default" r:id="rId10"/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6A" w:rsidRDefault="00D5546A" w:rsidP="00D56E38">
      <w:r>
        <w:separator/>
      </w:r>
    </w:p>
  </w:endnote>
  <w:endnote w:type="continuationSeparator" w:id="0">
    <w:p w:rsidR="00D5546A" w:rsidRDefault="00D5546A" w:rsidP="00D5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6A" w:rsidRDefault="00D5546A" w:rsidP="00D56E38">
      <w:r>
        <w:separator/>
      </w:r>
    </w:p>
  </w:footnote>
  <w:footnote w:type="continuationSeparator" w:id="0">
    <w:p w:rsidR="00D5546A" w:rsidRDefault="00D5546A" w:rsidP="00D5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29" w:rsidRDefault="00BD7D29" w:rsidP="00BD7D29">
    <w:pPr>
      <w:pStyle w:val="Encabezado"/>
      <w:jc w:val="right"/>
      <w:rPr>
        <w:rFonts w:ascii="Arial" w:hAnsi="Arial" w:cs="Arial"/>
        <w:sz w:val="22"/>
        <w:szCs w:val="22"/>
      </w:rPr>
    </w:pPr>
    <w:r w:rsidRPr="00BD7D29">
      <w:rPr>
        <w:rFonts w:ascii="Arial" w:hAnsi="Arial" w:cs="Arial"/>
        <w:noProof/>
        <w:sz w:val="22"/>
        <w:szCs w:val="22"/>
        <w:lang w:eastAsia="es-MX"/>
      </w:rPr>
      <w:drawing>
        <wp:anchor distT="0" distB="0" distL="114300" distR="114300" simplePos="0" relativeHeight="251659264" behindDoc="0" locked="0" layoutInCell="1" allowOverlap="1" wp14:anchorId="76EDDE9F" wp14:editId="1E826895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497547" cy="51816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o bolet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547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7D29">
      <w:rPr>
        <w:rFonts w:ascii="Arial" w:hAnsi="Arial" w:cs="Arial"/>
        <w:sz w:val="22"/>
        <w:szCs w:val="22"/>
      </w:rPr>
      <w:t>Dirección Ejecutiva de Prerrogativas y Partidos Políticos</w:t>
    </w:r>
  </w:p>
  <w:p w:rsidR="00781611" w:rsidRPr="00BD7D29" w:rsidRDefault="00781611" w:rsidP="00BD7D29">
    <w:pPr>
      <w:pStyle w:val="Encabezado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Tercera Sesión Ordinaria del Comité de Radio y Televisión</w:t>
    </w:r>
  </w:p>
  <w:p w:rsidR="00BD7D29" w:rsidRPr="00BD7D29" w:rsidRDefault="00BD7D29" w:rsidP="00BD7D29">
    <w:pPr>
      <w:pStyle w:val="Encabezado"/>
      <w:pBdr>
        <w:bottom w:val="single" w:sz="12" w:space="1" w:color="D60093"/>
      </w:pBdr>
      <w:rPr>
        <w:rFonts w:ascii="Arial" w:hAnsi="Arial" w:cs="Arial"/>
        <w:noProof/>
        <w:sz w:val="22"/>
        <w:szCs w:val="22"/>
        <w:lang w:eastAsia="es-MX"/>
      </w:rPr>
    </w:pPr>
  </w:p>
  <w:p w:rsidR="00BD7D29" w:rsidRPr="00BD7D29" w:rsidRDefault="00BD7D29" w:rsidP="00BD7D29">
    <w:pPr>
      <w:pStyle w:val="Encabezado"/>
      <w:pBdr>
        <w:bottom w:val="single" w:sz="12" w:space="1" w:color="D60093"/>
      </w:pBdr>
      <w:jc w:val="center"/>
      <w:rPr>
        <w:rFonts w:ascii="Arial" w:hAnsi="Arial" w:cs="Arial"/>
        <w:b/>
        <w:noProof/>
        <w:sz w:val="22"/>
        <w:szCs w:val="22"/>
        <w:lang w:eastAsia="es-MX"/>
      </w:rPr>
    </w:pPr>
  </w:p>
  <w:p w:rsidR="00BD7D29" w:rsidRPr="00BD7D29" w:rsidRDefault="00BD7D29" w:rsidP="00BD7D29">
    <w:pPr>
      <w:pStyle w:val="Encabezado"/>
      <w:pBdr>
        <w:bottom w:val="single" w:sz="12" w:space="1" w:color="D60093"/>
      </w:pBdr>
      <w:jc w:val="center"/>
      <w:rPr>
        <w:rFonts w:ascii="Arial" w:hAnsi="Arial" w:cs="Arial"/>
        <w:b/>
        <w:noProof/>
        <w:sz w:val="22"/>
        <w:szCs w:val="22"/>
        <w:lang w:eastAsia="es-MX"/>
      </w:rPr>
    </w:pPr>
  </w:p>
  <w:p w:rsidR="00D56E38" w:rsidRDefault="00D56E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61E8"/>
    <w:multiLevelType w:val="hybridMultilevel"/>
    <w:tmpl w:val="7A8824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7E19"/>
    <w:multiLevelType w:val="hybridMultilevel"/>
    <w:tmpl w:val="25404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4E69"/>
    <w:multiLevelType w:val="hybridMultilevel"/>
    <w:tmpl w:val="25404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C32DB"/>
    <w:multiLevelType w:val="hybridMultilevel"/>
    <w:tmpl w:val="8890671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862CF6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8"/>
    <w:rsid w:val="000044EA"/>
    <w:rsid w:val="00007705"/>
    <w:rsid w:val="00013D94"/>
    <w:rsid w:val="00074B66"/>
    <w:rsid w:val="000B2BF7"/>
    <w:rsid w:val="000D0145"/>
    <w:rsid w:val="00110BBB"/>
    <w:rsid w:val="00146B76"/>
    <w:rsid w:val="00176216"/>
    <w:rsid w:val="00197F3B"/>
    <w:rsid w:val="001D13B9"/>
    <w:rsid w:val="00287EB6"/>
    <w:rsid w:val="00297B17"/>
    <w:rsid w:val="0033105C"/>
    <w:rsid w:val="004014B1"/>
    <w:rsid w:val="004403B9"/>
    <w:rsid w:val="0058512A"/>
    <w:rsid w:val="005D1C22"/>
    <w:rsid w:val="005E0727"/>
    <w:rsid w:val="005E736F"/>
    <w:rsid w:val="00607835"/>
    <w:rsid w:val="006868F4"/>
    <w:rsid w:val="006E620D"/>
    <w:rsid w:val="00781611"/>
    <w:rsid w:val="007C21B1"/>
    <w:rsid w:val="00811C3B"/>
    <w:rsid w:val="00844D41"/>
    <w:rsid w:val="008D3FD7"/>
    <w:rsid w:val="009237BC"/>
    <w:rsid w:val="009317AD"/>
    <w:rsid w:val="00947E8F"/>
    <w:rsid w:val="00960374"/>
    <w:rsid w:val="009620E9"/>
    <w:rsid w:val="009F0452"/>
    <w:rsid w:val="00B214AA"/>
    <w:rsid w:val="00B42DF3"/>
    <w:rsid w:val="00BD78D0"/>
    <w:rsid w:val="00BD7D29"/>
    <w:rsid w:val="00C31191"/>
    <w:rsid w:val="00C62540"/>
    <w:rsid w:val="00C96990"/>
    <w:rsid w:val="00CD1436"/>
    <w:rsid w:val="00D30C36"/>
    <w:rsid w:val="00D5546A"/>
    <w:rsid w:val="00D56E38"/>
    <w:rsid w:val="00D965E6"/>
    <w:rsid w:val="00DD75AC"/>
    <w:rsid w:val="00EA772E"/>
    <w:rsid w:val="00EC36A2"/>
    <w:rsid w:val="00ED2690"/>
    <w:rsid w:val="00F721C9"/>
    <w:rsid w:val="00F73380"/>
    <w:rsid w:val="00F8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7E286B-3A66-4402-9635-E19D6F5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rmatoINE1">
    <w:name w:val="Formato INE 1"/>
    <w:basedOn w:val="Tablanormal"/>
    <w:uiPriority w:val="99"/>
    <w:rsid w:val="00DD75AC"/>
    <w:pPr>
      <w:spacing w:after="0" w:line="240" w:lineRule="auto"/>
      <w:jc w:val="center"/>
    </w:pPr>
    <w:rPr>
      <w:color w:val="000000" w:themeColor="text1"/>
      <w:sz w:val="18"/>
      <w:lang w:eastAsia="es-ES_tradnl"/>
    </w:rPr>
    <w:tblPr>
      <w:tblStyleRowBandSize w:val="1"/>
      <w:tblStyleColBandSize w:val="1"/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56E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E3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56E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E3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link w:val="SinespaciadoCar"/>
    <w:uiPriority w:val="1"/>
    <w:qFormat/>
    <w:rsid w:val="00D56E38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SinespaciadoCar">
    <w:name w:val="Sin espaciado Car"/>
    <w:link w:val="Sinespaciado"/>
    <w:uiPriority w:val="1"/>
    <w:rsid w:val="00D56E38"/>
    <w:rPr>
      <w:rFonts w:ascii="Arial" w:eastAsia="Times New Roman" w:hAnsi="Arial" w:cs="Arial"/>
    </w:rPr>
  </w:style>
  <w:style w:type="paragraph" w:styleId="Prrafodelista">
    <w:name w:val="List Paragraph"/>
    <w:basedOn w:val="Normal"/>
    <w:uiPriority w:val="34"/>
    <w:qFormat/>
    <w:rsid w:val="00EA77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E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EB6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3B3367737EC848A8D6FD92B7554F55" ma:contentTypeVersion="2" ma:contentTypeDescription="Crear nuevo documento." ma:contentTypeScope="" ma:versionID="cf8333cf153b0559ad007b8fb099e785">
  <xsd:schema xmlns:xsd="http://www.w3.org/2001/XMLSchema" xmlns:xs="http://www.w3.org/2001/XMLSchema" xmlns:p="http://schemas.microsoft.com/office/2006/metadata/properties" xmlns:ns2="bd6db9be-d263-4391-baac-5d4528c43f89" targetNamespace="http://schemas.microsoft.com/office/2006/metadata/properties" ma:root="true" ma:fieldsID="d3996c65118cee664dbc9099307c0765" ns2:_="">
    <xsd:import namespace="bd6db9be-d263-4391-baac-5d4528c4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b9be-d263-4391-baac-5d4528c4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971C7-8C6B-4835-BF7A-0F2C87F82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7B6AF-328F-43CC-935E-301A83E3F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DB16B-F479-488A-BB18-0706C179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b9be-d263-4391-baac-5d4528c4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 BONILLA RENATA</dc:creator>
  <cp:keywords/>
  <dc:description/>
  <cp:lastModifiedBy>PC3</cp:lastModifiedBy>
  <cp:revision>2</cp:revision>
  <cp:lastPrinted>2020-03-13T18:31:00Z</cp:lastPrinted>
  <dcterms:created xsi:type="dcterms:W3CDTF">2020-03-20T21:34:00Z</dcterms:created>
  <dcterms:modified xsi:type="dcterms:W3CDTF">2020-03-20T21:34:00Z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0x010100BC3B3367737EC848A8D6FD92B7554F55</vt:lpwstr>
  </property>
</Properties>
</file>